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47" w:rsidRPr="001E7247" w:rsidRDefault="00CF5C78">
      <w:pPr>
        <w:rPr>
          <w:b/>
        </w:rPr>
      </w:pPr>
      <w:bookmarkStart w:id="0" w:name="_GoBack"/>
      <w:bookmarkEnd w:id="0"/>
      <w:r>
        <w:rPr>
          <w:b/>
        </w:rPr>
        <w:t>Proposal to the Congregation</w:t>
      </w:r>
      <w:r w:rsidR="00504D6C">
        <w:rPr>
          <w:b/>
        </w:rPr>
        <w:t xml:space="preserve"> to establish a Line of Credit funded by the First Parish Endowme</w:t>
      </w:r>
      <w:r>
        <w:rPr>
          <w:b/>
        </w:rPr>
        <w:t>nt, for use in capital improvement projects.</w:t>
      </w:r>
    </w:p>
    <w:p w:rsidR="00572C66" w:rsidRDefault="00CF5C78">
      <w:r>
        <w:t>The Standing</w:t>
      </w:r>
      <w:r w:rsidR="00504D6C">
        <w:t xml:space="preserve"> Committee would like to rec</w:t>
      </w:r>
      <w:r>
        <w:t>ommend to the Congregation</w:t>
      </w:r>
      <w:r w:rsidR="00504D6C">
        <w:t xml:space="preserve"> that a Line of Credit be established which can be </w:t>
      </w:r>
      <w:r>
        <w:t xml:space="preserve">drawn upon to fund capital improvement projects </w:t>
      </w:r>
      <w:r w:rsidR="00504D6C">
        <w:t>when necessary.  This will allow flexibility in the pace and timing of improvements and repairs which is not pos</w:t>
      </w:r>
      <w:r w:rsidR="00714735">
        <w:t>sible under our current funding paradigm.  Over the long term, this would decrease our overall maintenance costs, and improve the usefulness of our facilities.  This line of credit w</w:t>
      </w:r>
      <w:r w:rsidR="00E931DB">
        <w:t>ould be a loan funded by the endowment, and therefore</w:t>
      </w:r>
      <w:r w:rsidR="00714735">
        <w:t xml:space="preserve"> </w:t>
      </w:r>
      <w:r w:rsidR="00E931DB">
        <w:t>t</w:t>
      </w:r>
      <w:r w:rsidR="00714735">
        <w:t>he by-l</w:t>
      </w:r>
      <w:r w:rsidR="00E931DB">
        <w:t>aws require that the following issues be addressed:</w:t>
      </w:r>
    </w:p>
    <w:p w:rsidR="00714735" w:rsidRDefault="00714735" w:rsidP="00514886">
      <w:pPr>
        <w:pStyle w:val="ListParagraph"/>
        <w:numPr>
          <w:ilvl w:val="0"/>
          <w:numId w:val="1"/>
        </w:numPr>
      </w:pPr>
      <w:r>
        <w:t>Purpose of the loan:</w:t>
      </w:r>
    </w:p>
    <w:p w:rsidR="00514886" w:rsidRDefault="00714735" w:rsidP="00714735">
      <w:pPr>
        <w:pStyle w:val="ListParagraph"/>
        <w:numPr>
          <w:ilvl w:val="1"/>
          <w:numId w:val="1"/>
        </w:numPr>
      </w:pPr>
      <w:r>
        <w:t xml:space="preserve">To allow capital improvement and repair projects to be undertaken when needed, even if sufficient </w:t>
      </w:r>
      <w:r w:rsidR="00A16A07">
        <w:t>funds are not available in the current building fund(s).</w:t>
      </w:r>
    </w:p>
    <w:p w:rsidR="00514886" w:rsidRDefault="00A16A07" w:rsidP="00514886">
      <w:pPr>
        <w:pStyle w:val="ListParagraph"/>
        <w:numPr>
          <w:ilvl w:val="0"/>
          <w:numId w:val="1"/>
        </w:numPr>
      </w:pPr>
      <w:r>
        <w:t>Amount of loan:</w:t>
      </w:r>
    </w:p>
    <w:p w:rsidR="00A16A07" w:rsidRDefault="00A16A07" w:rsidP="00A16A07">
      <w:pPr>
        <w:pStyle w:val="ListParagraph"/>
        <w:numPr>
          <w:ilvl w:val="1"/>
          <w:numId w:val="1"/>
        </w:numPr>
      </w:pPr>
      <w:r>
        <w:t>The line of credit would be for $500,000, though the exact amount on loan at any given time would be variable.</w:t>
      </w:r>
    </w:p>
    <w:p w:rsidR="00514886" w:rsidRDefault="00A16A07" w:rsidP="00514886">
      <w:pPr>
        <w:pStyle w:val="ListParagraph"/>
        <w:numPr>
          <w:ilvl w:val="0"/>
          <w:numId w:val="1"/>
        </w:numPr>
      </w:pPr>
      <w:r>
        <w:t>Interest rate:</w:t>
      </w:r>
    </w:p>
    <w:p w:rsidR="00A16A07" w:rsidRDefault="00A16A07" w:rsidP="00A16A07">
      <w:pPr>
        <w:pStyle w:val="ListParagraph"/>
        <w:numPr>
          <w:ilvl w:val="1"/>
          <w:numId w:val="1"/>
        </w:numPr>
      </w:pPr>
      <w:r>
        <w:t xml:space="preserve">The LoC would </w:t>
      </w:r>
      <w:r w:rsidR="00E05EF9">
        <w:t>have an interest rate equivalent to the percentage payout from the endowment in any given year</w:t>
      </w:r>
      <w:r>
        <w:t xml:space="preserve">.  </w:t>
      </w:r>
      <w:r w:rsidR="00E05EF9">
        <w:t xml:space="preserve">This is typically 4.5%, but can change at the discretion of the Investment Committee.  If changed, the new rate would apply to the entire outstanding balance of the </w:t>
      </w:r>
      <w:proofErr w:type="spellStart"/>
      <w:r w:rsidR="00E05EF9">
        <w:t>LoC.</w:t>
      </w:r>
      <w:proofErr w:type="spellEnd"/>
    </w:p>
    <w:p w:rsidR="001E7247" w:rsidRDefault="00A16A07" w:rsidP="00514886">
      <w:pPr>
        <w:pStyle w:val="ListParagraph"/>
        <w:numPr>
          <w:ilvl w:val="0"/>
          <w:numId w:val="1"/>
        </w:numPr>
      </w:pPr>
      <w:r>
        <w:t>Payment schedule:</w:t>
      </w:r>
    </w:p>
    <w:p w:rsidR="00A16A07" w:rsidRDefault="00A16A07" w:rsidP="00A16A07">
      <w:pPr>
        <w:pStyle w:val="ListParagraph"/>
        <w:numPr>
          <w:ilvl w:val="1"/>
          <w:numId w:val="1"/>
        </w:numPr>
      </w:pPr>
      <w:r>
        <w:t>There is no specific repayment schedule, as it is intended to be a revolving line of credit.  However, the LoC itself will expire 10 years from the date of enactment, and would need to be re-authorized at that time.  If not re-authorized, then any o</w:t>
      </w:r>
      <w:r w:rsidR="00BC4121">
        <w:t>utstanding balance must</w:t>
      </w:r>
      <w:r>
        <w:t xml:space="preserve"> be repaid to the endowment within</w:t>
      </w:r>
      <w:r w:rsidR="00BC4121">
        <w:t xml:space="preserve"> that fiscal year, or converted into a conventional loan using the procedure outlined in the by-laws.</w:t>
      </w:r>
    </w:p>
    <w:p w:rsidR="001E7247" w:rsidRDefault="00BC4121" w:rsidP="00514886">
      <w:pPr>
        <w:pStyle w:val="ListParagraph"/>
        <w:numPr>
          <w:ilvl w:val="0"/>
          <w:numId w:val="1"/>
        </w:numPr>
      </w:pPr>
      <w:r>
        <w:t>Source of revenue for repayment:</w:t>
      </w:r>
    </w:p>
    <w:p w:rsidR="00BC4121" w:rsidRDefault="00BC4121" w:rsidP="00BC4121">
      <w:pPr>
        <w:pStyle w:val="ListParagraph"/>
        <w:numPr>
          <w:ilvl w:val="1"/>
          <w:numId w:val="1"/>
        </w:numPr>
      </w:pPr>
      <w:r>
        <w:t>Any time there is a balance outstanding on the LoC, then all funds normally budgeted to go into building reserves will be used towards repayment instead.</w:t>
      </w:r>
    </w:p>
    <w:p w:rsidR="00BC4121" w:rsidRDefault="00BC4121" w:rsidP="00BC4121">
      <w:pPr>
        <w:pStyle w:val="ListParagraph"/>
        <w:numPr>
          <w:ilvl w:val="0"/>
          <w:numId w:val="1"/>
        </w:numPr>
      </w:pPr>
      <w:r>
        <w:t>Other conditions:</w:t>
      </w:r>
    </w:p>
    <w:p w:rsidR="00BC4121" w:rsidRDefault="00BC4121" w:rsidP="00BC4121">
      <w:pPr>
        <w:pStyle w:val="ListParagraph"/>
        <w:numPr>
          <w:ilvl w:val="1"/>
          <w:numId w:val="1"/>
        </w:numPr>
      </w:pPr>
      <w:r>
        <w:t xml:space="preserve">The Standing Committee, Buildings and Grounds Committee, and the Finance Committee will jointly maintain a Capital Improvement Plan.  Only projects officially placed on this plan may be funded by the </w:t>
      </w:r>
      <w:proofErr w:type="spellStart"/>
      <w:r>
        <w:t>LoC.</w:t>
      </w:r>
      <w:proofErr w:type="spellEnd"/>
    </w:p>
    <w:p w:rsidR="000A355C" w:rsidRDefault="00E931DB" w:rsidP="00BC4121">
      <w:pPr>
        <w:pStyle w:val="ListParagraph"/>
        <w:numPr>
          <w:ilvl w:val="1"/>
          <w:numId w:val="1"/>
        </w:numPr>
      </w:pPr>
      <w:r>
        <w:t xml:space="preserve">Disbursements from </w:t>
      </w:r>
      <w:r w:rsidR="006D6E08">
        <w:t xml:space="preserve">and payments to </w:t>
      </w:r>
      <w:r>
        <w:t>the LoC wil</w:t>
      </w:r>
      <w:r w:rsidR="0045586A">
        <w:t>l be authorized by the Finance C</w:t>
      </w:r>
      <w:r>
        <w:t xml:space="preserve">ommittee, and coordinated between the Treasurer and </w:t>
      </w:r>
      <w:r w:rsidR="000A355C">
        <w:t>Walden Asset Management.</w:t>
      </w:r>
    </w:p>
    <w:p w:rsidR="00E931DB" w:rsidRDefault="000A355C" w:rsidP="00BC4121">
      <w:pPr>
        <w:pStyle w:val="ListParagraph"/>
        <w:numPr>
          <w:ilvl w:val="1"/>
          <w:numId w:val="1"/>
        </w:numPr>
      </w:pPr>
      <w:r>
        <w:t>All withdraws and repayments on the LoC must occur in conjunction with the regular quarterly disbursements from the endowment, with sufficient notice be</w:t>
      </w:r>
      <w:r w:rsidR="00E35C63">
        <w:t>forehand as determined by W.A.M</w:t>
      </w:r>
      <w:r>
        <w:t>.  Walden Asset Management will be responsible for calculating interest due and deducting it automatically from the quarterly payments to First Parish.</w:t>
      </w:r>
      <w:r w:rsidR="00E35C63">
        <w:t xml:space="preserve">  </w:t>
      </w:r>
      <w:r w:rsidR="00E931DB">
        <w:t>Any untapped credit will remain in the endowment, and be used for investment as any other endowment funds.</w:t>
      </w:r>
      <w:r w:rsidR="00E35C63">
        <w:t xml:space="preserve">  Alterations to this clause may be made at the </w:t>
      </w:r>
      <w:r w:rsidR="00D122D8">
        <w:t xml:space="preserve">combined </w:t>
      </w:r>
      <w:r w:rsidR="00E35C63">
        <w:t>discretion of Walden Asset Management</w:t>
      </w:r>
      <w:r w:rsidR="00D122D8">
        <w:t xml:space="preserve"> and First Parish.</w:t>
      </w:r>
    </w:p>
    <w:p w:rsidR="00591107" w:rsidRDefault="00BC4121" w:rsidP="001E7247">
      <w:r>
        <w:t xml:space="preserve">Though the by-laws do not require any specific input by the Investment Committee regarding loans from the endowment, the full support of the Investment </w:t>
      </w:r>
      <w:r w:rsidR="00E931DB">
        <w:t xml:space="preserve">Committee is critical for this to be a successful endeavor.  </w:t>
      </w:r>
      <w:r w:rsidR="006D6E08">
        <w:t xml:space="preserve">This proposal has been created with the input and approval of the Investment Committee, </w:t>
      </w:r>
      <w:r w:rsidR="00CF5C78">
        <w:t xml:space="preserve">the Finance Committee, the Buildings and Grounds Committee, the Standing Committee, </w:t>
      </w:r>
      <w:r w:rsidR="006D6E08">
        <w:t>and in consultation with Walden Asset Management, our financial management firm.</w:t>
      </w:r>
    </w:p>
    <w:p w:rsidR="00591107" w:rsidRDefault="00591107">
      <w:r>
        <w:br w:type="page"/>
      </w:r>
    </w:p>
    <w:p w:rsidR="001E7247" w:rsidRDefault="006C4848" w:rsidP="001E7247">
      <w:r w:rsidRPr="006C484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D46A7" wp14:editId="68CC38B3">
                <wp:simplePos x="0" y="0"/>
                <wp:positionH relativeFrom="margin">
                  <wp:posOffset>3048317</wp:posOffset>
                </wp:positionH>
                <wp:positionV relativeFrom="paragraph">
                  <wp:posOffset>5171123</wp:posOffset>
                </wp:positionV>
                <wp:extent cx="4114483" cy="1485900"/>
                <wp:effectExtent l="0" t="317" r="19367" b="19368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5400000">
                          <a:off x="0" y="0"/>
                          <a:ext cx="4114483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C4848" w:rsidRDefault="006C4848" w:rsidP="006C4848">
                            <w:pPr>
                              <w:spacing w:after="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Key Benefits</w:t>
                            </w:r>
                          </w:p>
                          <w:p w:rsidR="006C4848" w:rsidRPr="006C4848" w:rsidRDefault="006C4848" w:rsidP="006C4848">
                            <w:pPr>
                              <w:pStyle w:val="ListParagraph"/>
                              <w:spacing w:after="0" w:line="216" w:lineRule="auto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</w:p>
                          <w:p w:rsidR="006C4848" w:rsidRPr="006C4848" w:rsidRDefault="006C4848" w:rsidP="006C48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Certainty in planning</w:t>
                            </w:r>
                          </w:p>
                          <w:p w:rsidR="006C4848" w:rsidRPr="00460677" w:rsidRDefault="006C4848" w:rsidP="006C48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Cost-effective scheduling of priorities</w:t>
                            </w:r>
                          </w:p>
                          <w:p w:rsidR="00460677" w:rsidRPr="006C4848" w:rsidRDefault="00460677" w:rsidP="006C48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Projects not delayed while waiting for funding</w:t>
                            </w:r>
                          </w:p>
                          <w:p w:rsidR="006C4848" w:rsidRPr="006C4848" w:rsidRDefault="006C4848" w:rsidP="006C48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Emergencies can be addressed immediately</w:t>
                            </w:r>
                          </w:p>
                          <w:p w:rsidR="006C4848" w:rsidRPr="006C4848" w:rsidRDefault="006C4848" w:rsidP="005677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C484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Projects not tied to fiscal years or budget cycles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3D46A7" id="Content Placeholder 2" o:spid="_x0000_s1026" style="position:absolute;margin-left:240pt;margin-top:407.2pt;width:324pt;height:11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" filled="f" strokecolor="black [3213]">
                <v:path arrowok="t"/>
                <o:lock v:ext="edit" grouping="t"/>
                <v:textbox>
                  <w:txbxContent>
                    <w:p w:rsidR="006C4848" w:rsidRDefault="006C4848" w:rsidP="006C4848">
                      <w:pPr>
                        <w:spacing w:after="0"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6"/>
                        </w:rPr>
                        <w:t>Key Benefits</w:t>
                      </w:r>
                    </w:p>
                    <w:p w:rsidR="006C4848" w:rsidRPr="006C4848" w:rsidRDefault="006C4848" w:rsidP="006C4848">
                      <w:pPr>
                        <w:pStyle w:val="ListParagraph"/>
                        <w:spacing w:after="0" w:line="216" w:lineRule="auto"/>
                        <w:rPr>
                          <w:rFonts w:eastAsia="Times New Roman"/>
                          <w:sz w:val="28"/>
                          <w:szCs w:val="24"/>
                        </w:rPr>
                      </w:pPr>
                    </w:p>
                    <w:p w:rsidR="006C4848" w:rsidRPr="006C4848" w:rsidRDefault="006C4848" w:rsidP="006C48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6"/>
                        </w:rPr>
                        <w:t>Certainty in planning</w:t>
                      </w:r>
                    </w:p>
                    <w:p w:rsidR="006C4848" w:rsidRPr="00460677" w:rsidRDefault="006C4848" w:rsidP="006C48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6"/>
                        </w:rPr>
                        <w:t>Cost-effective scheduling of priorities</w:t>
                      </w:r>
                    </w:p>
                    <w:p w:rsidR="00460677" w:rsidRPr="006C4848" w:rsidRDefault="00460677" w:rsidP="006C48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6"/>
                        </w:rPr>
                        <w:t>Projects not delayed while waiting for funding</w:t>
                      </w:r>
                    </w:p>
                    <w:p w:rsidR="006C4848" w:rsidRPr="006C4848" w:rsidRDefault="006C4848" w:rsidP="006C48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6"/>
                        </w:rPr>
                        <w:t>Emergencies can be addressed immediately</w:t>
                      </w:r>
                    </w:p>
                    <w:p w:rsidR="006C4848" w:rsidRPr="006C4848" w:rsidRDefault="006C4848" w:rsidP="005677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eastAsia="Times New Roman"/>
                          <w:sz w:val="28"/>
                        </w:rPr>
                      </w:pPr>
                      <w:r w:rsidRPr="006C4848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6"/>
                        </w:rPr>
                        <w:t>Projects not tied to fiscal years or budget cycles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1107" w:rsidRPr="00591107">
        <w:rPr>
          <w:noProof/>
        </w:rPr>
        <w:drawing>
          <wp:anchor distT="0" distB="0" distL="114300" distR="114300" simplePos="0" relativeHeight="251658240" behindDoc="0" locked="0" layoutInCell="1" allowOverlap="1" wp14:anchorId="44B2BD12" wp14:editId="180C444B">
            <wp:simplePos x="0" y="0"/>
            <wp:positionH relativeFrom="column">
              <wp:posOffset>3531235</wp:posOffset>
            </wp:positionH>
            <wp:positionV relativeFrom="paragraph">
              <wp:posOffset>20956</wp:posOffset>
            </wp:positionV>
            <wp:extent cx="3137312" cy="3093738"/>
            <wp:effectExtent l="254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7312" cy="309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107" w:rsidRPr="00591107">
        <w:rPr>
          <w:noProof/>
        </w:rPr>
        <w:drawing>
          <wp:anchor distT="0" distB="0" distL="114300" distR="114300" simplePos="0" relativeHeight="251659264" behindDoc="1" locked="0" layoutInCell="1" allowOverlap="1" wp14:anchorId="2CF15FB5" wp14:editId="42F165E4">
            <wp:simplePos x="0" y="0"/>
            <wp:positionH relativeFrom="column">
              <wp:posOffset>-3257232</wp:posOffset>
            </wp:positionH>
            <wp:positionV relativeFrom="paragraph">
              <wp:posOffset>2713989</wp:posOffset>
            </wp:positionV>
            <wp:extent cx="9295130" cy="3903345"/>
            <wp:effectExtent l="0" t="920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95130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E7247" w:rsidSect="00E35C63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C85"/>
    <w:multiLevelType w:val="hybridMultilevel"/>
    <w:tmpl w:val="FE0E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727"/>
    <w:multiLevelType w:val="hybridMultilevel"/>
    <w:tmpl w:val="19CE364E"/>
    <w:lvl w:ilvl="0" w:tplc="B5A4C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84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ED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6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20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3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EE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CF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86"/>
    <w:rsid w:val="00066F3A"/>
    <w:rsid w:val="000A355C"/>
    <w:rsid w:val="000B387C"/>
    <w:rsid w:val="001078D9"/>
    <w:rsid w:val="001E7247"/>
    <w:rsid w:val="00287675"/>
    <w:rsid w:val="0045586A"/>
    <w:rsid w:val="00460677"/>
    <w:rsid w:val="004E5E5D"/>
    <w:rsid w:val="00504D6C"/>
    <w:rsid w:val="00514886"/>
    <w:rsid w:val="00572C66"/>
    <w:rsid w:val="00591107"/>
    <w:rsid w:val="00625D95"/>
    <w:rsid w:val="006C4848"/>
    <w:rsid w:val="006D6E08"/>
    <w:rsid w:val="00714735"/>
    <w:rsid w:val="007A65FC"/>
    <w:rsid w:val="008774C2"/>
    <w:rsid w:val="00A16A07"/>
    <w:rsid w:val="00A339D2"/>
    <w:rsid w:val="00BC4121"/>
    <w:rsid w:val="00CF5C78"/>
    <w:rsid w:val="00D122D8"/>
    <w:rsid w:val="00D60C5A"/>
    <w:rsid w:val="00E05EF9"/>
    <w:rsid w:val="00E35C63"/>
    <w:rsid w:val="00E931DB"/>
    <w:rsid w:val="00F918DE"/>
    <w:rsid w:val="00F960C6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Murray</dc:creator>
  <cp:lastModifiedBy>Admin</cp:lastModifiedBy>
  <cp:revision>2</cp:revision>
  <cp:lastPrinted>2016-04-30T01:49:00Z</cp:lastPrinted>
  <dcterms:created xsi:type="dcterms:W3CDTF">2016-05-13T17:23:00Z</dcterms:created>
  <dcterms:modified xsi:type="dcterms:W3CDTF">2016-05-13T17:23:00Z</dcterms:modified>
</cp:coreProperties>
</file>